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  <w:t>2026年度广东省文化和旅游政策研究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  <w:t>课题选题方向</w:t>
      </w:r>
    </w:p>
    <w:p>
      <w:pPr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1.健全社会力量参与公共文化服务机制研究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2.数智驱动下文旅消费新场景的效能评估与长效运营机制研究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3.推进文化和科技融合、发展新型文化业态研究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4.公共文化场馆融合旅游功能研究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5.提升广东非物质文化遗产系统性保护水平研究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6.农文旅融合发展项目提质增效的路径与对策研究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7.粉丝圈层文化治理和青少年保护机制研究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8.非国有不可移动文物保护路径研究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9.文博行业跨区域跨机构“师带徒”实践的制度化路径研究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10.粤港澳三地革命主题研学及大思政课建设的现状及路径研究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11.文化领域行政审批备案制度改革研究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12.促进文旅深度融合发展立法研究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B13A8"/>
    <w:rsid w:val="D7CB13A8"/>
    <w:rsid w:val="FC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2026-01-01T01:57:00Z</dcterms:created>
  <dc:creator>高军</dc:creator>
  <cp:lastModifiedBy>高军</cp:lastModifiedBy>
  <dcterms:modified xsi:type="dcterms:W3CDTF">2025-12-31T18:25:09Z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